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39DB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Use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(POCUS)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Among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A Dual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</w:p>
    <w:p w14:paraId="6B17D3C3" w14:textId="2A4488B9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C23C85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3CA809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ABSTRACT</w:t>
      </w:r>
    </w:p>
    <w:p w14:paraId="1AB4BEE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30D9DA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Introduction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:</w:t>
      </w:r>
    </w:p>
    <w:p w14:paraId="5C651C47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(POCUS)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increasingly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recognized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extension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examination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enhancing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bedside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diagnostic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accuracy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-time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decision-making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Although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widely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medical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internationally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routine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remains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inconsistent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aimed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identify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key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utilization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examine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organizational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broader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adoption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primary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secondary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healthcare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settings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DFAB42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5DCEB6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Methods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:</w:t>
      </w:r>
    </w:p>
    <w:p w14:paraId="07403FC4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cross-sectional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conducted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using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two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anonymous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administered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attending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course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during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"Dom zdravlja" Doboj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symposium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September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2025.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After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data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cleaning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41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analysis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 = 11;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 = 30),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43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analysis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instruments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assessed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characteristics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self-reported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familiarity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support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Descriptive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statistics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applied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χ²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Fisher's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tests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subgroup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comparisons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(p &lt; 0.05).</w:t>
      </w:r>
    </w:p>
    <w:p w14:paraId="46DAF827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96EC19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Results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:</w:t>
      </w:r>
    </w:p>
    <w:p w14:paraId="09068EE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demonstrated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use,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particularly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rapid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diagnostic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clarification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disease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monitoring. Most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participants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supported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curricular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recognized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value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Major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insufficient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mentorship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devices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time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clear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guidelines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financial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No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significant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differences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observed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5BA44EB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96BA6E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Conclusion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:</w:t>
      </w:r>
    </w:p>
    <w:p w14:paraId="41EFCF0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show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toward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adoption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however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predominantly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hindered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Coordinated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infrastructural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policy-level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interventions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necessary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enable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sustainable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routine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7E52B5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DBC512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Keywords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; POCUS;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primary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healthcare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5C81B62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D30B642" w14:textId="6CDE49DF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6C4ECEB" w14:textId="223DE073" w:rsidR="001F75B9" w:rsidRDefault="001F75B9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AD85AF1" w14:textId="77777777" w:rsidR="0012403B" w:rsidRDefault="0012403B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3BF6FBE" w14:textId="77777777" w:rsidR="001F75B9" w:rsidRPr="00E6558A" w:rsidRDefault="001F75B9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0CD0D0B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57A3DA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lastRenderedPageBreak/>
        <w:t>1. INTRODUCTION</w:t>
      </w:r>
    </w:p>
    <w:p w14:paraId="1D9B3324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605A3E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(POCUS)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evolved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over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past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two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decades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from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specialized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imaging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modality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widely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adopted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bedside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tool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described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"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fifth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pillar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"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examination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complementing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inspection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palpation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percussion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auscultation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-time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insonation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(1).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conceptual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shift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reflects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focused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routine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reasoning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enabling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direct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visualization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anatomical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pathophysiological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processes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during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patient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assessment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016D94C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3F0A70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Unlike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comprehensive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radiological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examinations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scope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indication-driven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performed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treating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answer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focused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immediate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decision-making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(2).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Evidence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suggests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improves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diagnostic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efficiency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enhances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procedural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safety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increases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clinician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confidence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particularly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time-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sensitive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resource-limited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environments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244752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74E8A7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systematic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review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Andersen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al.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demonstrated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increasingly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extension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examination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replacement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radiological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imaging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(3).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among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internists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emergency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consistently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positive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emphasizing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benefits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such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improved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diagnostic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enhanced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monitoring,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greater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autonomy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(4).</w:t>
      </w:r>
    </w:p>
    <w:p w14:paraId="5B23E84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B91CF5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frameworks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expanded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accordingly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several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initiatives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defining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curricular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standards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example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Delphi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consensus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from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France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Slovenia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defined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use in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emphasized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competency-based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(8,9).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Residency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programs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increasingly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incorporate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(10),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organizations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such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American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Academy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recommend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curricular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(11).</w:t>
      </w:r>
    </w:p>
    <w:p w14:paraId="73CC329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BBEB47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Despite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expanding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acceptance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initiatives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translation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routine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remains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uneven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Commonly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insufficient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time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support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unclear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boundaries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(5).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appear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predominantly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5E1DDD6B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AC447E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empirical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data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regarding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'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Understanding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factors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essential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developing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evidence-based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strategies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tailored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healthcare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context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1706862A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055C3A9" w14:textId="25401266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therefore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aimed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drivers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associated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use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through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two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complementary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conducted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among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attending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course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60E8B07" w14:textId="16F85952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0876718" w14:textId="1925AE1D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5954ADA" w14:textId="5B656F80" w:rsidR="0012403B" w:rsidRDefault="0012403B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D736753" w14:textId="77777777" w:rsidR="0012403B" w:rsidRPr="00E6558A" w:rsidRDefault="0012403B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131E017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lastRenderedPageBreak/>
        <w:t>2. MATERIALS AND METHODS</w:t>
      </w:r>
    </w:p>
    <w:p w14:paraId="416E943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A38F53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Design</w:t>
      </w:r>
    </w:p>
    <w:p w14:paraId="06244D2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cross-sectional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two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anonymous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'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related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dual-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approach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designed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capture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attitudinal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dimensions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within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same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setting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39AF67B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929CB7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Setting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Participants</w:t>
      </w:r>
      <w:proofErr w:type="spellEnd"/>
    </w:p>
    <w:p w14:paraId="736E753B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Data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collection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conducted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during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course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organized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"Dom zdravlja" Doboj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symposium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September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2025.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from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primary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secondary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healthcare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across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attended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course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6F9447B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68F943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All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participants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invited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voluntarily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Participation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anonymous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identifiable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information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collected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Because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recruitment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occurred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during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ultrasound-focused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event,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sample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represents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convenience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cohort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positively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predisposed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toward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POCUS.</w:t>
      </w:r>
    </w:p>
    <w:p w14:paraId="6D34E08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095CAB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Data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Sample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Size</w:t>
      </w:r>
      <w:proofErr w:type="spellEnd"/>
    </w:p>
    <w:p w14:paraId="2D8ED97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A total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105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initial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entries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recorded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technical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issue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during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data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export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dataset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lost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After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data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cleaning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exclusion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incomplete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analytic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sample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:</w:t>
      </w:r>
    </w:p>
    <w:p w14:paraId="5C39CE9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0B8978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· 41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 = 11;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 = 30)</w:t>
      </w:r>
    </w:p>
    <w:p w14:paraId="349A1A3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· 43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questionnaires</w:t>
      </w:r>
      <w:proofErr w:type="spellEnd"/>
    </w:p>
    <w:p w14:paraId="16EC99B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DD1738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anonymous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design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prevented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matching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individual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across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No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priori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power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calculation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performed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exploratory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nature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374A7D94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FC067B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Instruments</w:t>
      </w:r>
    </w:p>
    <w:p w14:paraId="5356AB5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Two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instruments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developed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on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thematic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domains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identified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previously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published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international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(4,7).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Items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adapted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local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healthcare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context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3EF92C9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8303E7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10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items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covering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status,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years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experience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self-assessed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familiarity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application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interests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support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career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impact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Multiple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allowed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domains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6DDA7D54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206EEA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10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statements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addressing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workflow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climate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factors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recorded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using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three-point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agreement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scale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agree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/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agree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/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disagree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).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three-level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scale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selected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ensure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clarity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within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time-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setting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0EFDA51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3B2BD3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psychometric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validation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performed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exploratory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design.</w:t>
      </w:r>
    </w:p>
    <w:p w14:paraId="6B11D5B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00B2428" w14:textId="77777777" w:rsidR="00037CAD" w:rsidRDefault="00037CAD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64105E2" w14:textId="5B1BAEBB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lastRenderedPageBreak/>
        <w:t>Statistical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Analysis</w:t>
      </w:r>
      <w:proofErr w:type="spellEnd"/>
    </w:p>
    <w:p w14:paraId="278B6354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Categorical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variables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presented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frequencies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percentages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Group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comparisons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conducted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using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χ²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tests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Fisher's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test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when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appropriate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Statistical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significance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at p &lt; 0.05. No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correction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multiple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comparisons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applied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96E582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93859F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Ethical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Considerations</w:t>
      </w:r>
      <w:proofErr w:type="spellEnd"/>
    </w:p>
    <w:p w14:paraId="51E0EA8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conducted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accordance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Declaration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Helsinki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approved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Ethics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Committee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Approval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number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5362/25).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Participation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voluntary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anonymous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considered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informed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3E3B6A3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867B0C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3. RESULTS</w:t>
      </w:r>
    </w:p>
    <w:p w14:paraId="0CF59D7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5A753B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3.1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Demographic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Professional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Characteristics</w:t>
      </w:r>
      <w:proofErr w:type="spellEnd"/>
    </w:p>
    <w:p w14:paraId="3F42AF9A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C577BE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A total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41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completed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questionnaires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analysis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constituted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73.2%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while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GPs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accounted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26.8%. Most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participants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(61.0%)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11–20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years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experience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indicating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predominantly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mid-career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cohort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4339991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3B32CE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Self-assessed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familiarity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revealed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moderate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largest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proportion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their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knowledge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average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(39.0%),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followed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good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(26.8%).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Notably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26.9%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familiarity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while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only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7.3%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considered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their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knowledge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excellent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(Table 1).</w:t>
      </w:r>
    </w:p>
    <w:p w14:paraId="5BCD4A37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DA50CB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Table 1.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Demographic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characteristics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(N = 41)</w:t>
      </w:r>
    </w:p>
    <w:p w14:paraId="6FE51E5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346"/>
        <w:gridCol w:w="1627"/>
        <w:gridCol w:w="2028"/>
      </w:tblGrid>
      <w:tr w:rsidR="00D60642" w:rsidRPr="00D60642" w14:paraId="24644906" w14:textId="77777777" w:rsidTr="00D60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71030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Variable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54F1D5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E3D89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 (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Number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BA3B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% (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Percentage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)</w:t>
            </w:r>
          </w:p>
        </w:tc>
      </w:tr>
      <w:tr w:rsidR="00D60642" w:rsidRPr="00D60642" w14:paraId="7355C538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21EBB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Professional 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71C494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General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practitioner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8F10AC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7F651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26.8%</w:t>
            </w:r>
          </w:p>
        </w:tc>
      </w:tr>
      <w:tr w:rsidR="00D60642" w:rsidRPr="00D60642" w14:paraId="54D0E920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BF971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1D46E1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Specialist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515FB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991BEB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73.2%</w:t>
            </w:r>
          </w:p>
        </w:tc>
      </w:tr>
      <w:tr w:rsidR="00D60642" w:rsidRPr="00D60642" w14:paraId="09A048DE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8C59E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Years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of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1AE43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≤10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714CA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531B2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22.0%</w:t>
            </w:r>
          </w:p>
        </w:tc>
      </w:tr>
      <w:tr w:rsidR="00D60642" w:rsidRPr="00D60642" w14:paraId="5E10E2B7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81FE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C9DAF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11–20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A2853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39EB9F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61.0%</w:t>
            </w:r>
          </w:p>
        </w:tc>
      </w:tr>
      <w:tr w:rsidR="00D60642" w:rsidRPr="00D60642" w14:paraId="0BC59EE1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669E9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A9EAE8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&gt;20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5A942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5B4728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17.1%</w:t>
            </w:r>
          </w:p>
        </w:tc>
      </w:tr>
      <w:tr w:rsidR="00D60642" w:rsidRPr="00D60642" w14:paraId="18E84992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CCCF2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Ultrasound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familiarity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FF240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Excellent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5D84A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176E1E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7.3%</w:t>
            </w:r>
          </w:p>
        </w:tc>
      </w:tr>
      <w:tr w:rsidR="00D60642" w:rsidRPr="00D60642" w14:paraId="04259D70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B2342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645DD1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FCF4D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0958A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26.8%</w:t>
            </w:r>
          </w:p>
        </w:tc>
      </w:tr>
      <w:tr w:rsidR="00D60642" w:rsidRPr="00D60642" w14:paraId="610FBFAC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57E0C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15A3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Average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ED13D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EDE24F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39.0%</w:t>
            </w:r>
          </w:p>
        </w:tc>
      </w:tr>
      <w:tr w:rsidR="00D60642" w:rsidRPr="00D60642" w14:paraId="0397E955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39148F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67B15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Poor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3C92E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DC32DB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17.1%</w:t>
            </w:r>
          </w:p>
        </w:tc>
      </w:tr>
      <w:tr w:rsidR="00D60642" w:rsidRPr="00D60642" w14:paraId="63D9C8EA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DF1966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E4EC0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7FD66C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1A953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9.8%</w:t>
            </w:r>
          </w:p>
        </w:tc>
      </w:tr>
    </w:tbl>
    <w:p w14:paraId="23F1DE9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0F643F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3.2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Drivers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Professional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Attitudes</w:t>
      </w:r>
      <w:proofErr w:type="spellEnd"/>
    </w:p>
    <w:p w14:paraId="529947A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D5E6FA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Participants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allowed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select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multiple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(Table 2).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Rapid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diagnostic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clarification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(82.9%)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disease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monitoring (70.7%)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most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frequently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drivers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procedures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(36.6%)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visualization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anatomy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(29.3%)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frequently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selected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0AEDB33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C01B14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Support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curricular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(92.7%),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78.0%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believed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significantly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enhances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development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47FBD32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2DF720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Nearly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(97.6%)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disagreed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statement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should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performed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exclusively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radiologists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Additionally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82.9%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increased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associated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No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statistically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significant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differences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observed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groups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(p &gt; 0.05).</w:t>
      </w:r>
    </w:p>
    <w:p w14:paraId="7125621B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231AC88" w14:textId="19E53D94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Table 2.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factors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(N = 41)</w:t>
      </w:r>
    </w:p>
    <w:p w14:paraId="0A780DEB" w14:textId="77777777" w:rsidR="001F75B9" w:rsidRPr="00E6558A" w:rsidRDefault="001F75B9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1566"/>
        <w:gridCol w:w="1982"/>
      </w:tblGrid>
      <w:tr w:rsidR="00D60642" w:rsidRPr="001F75B9" w14:paraId="0FBC9C12" w14:textId="77777777" w:rsidTr="001F75B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C9BBDB" w14:textId="0B80B1BC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F75B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Vari</w:t>
            </w:r>
            <w:r w:rsid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able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3874A2" w14:textId="555DA108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 (</w:t>
            </w:r>
            <w:proofErr w:type="spellStart"/>
            <w:r w:rsid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number</w:t>
            </w:r>
            <w:proofErr w:type="spellEnd"/>
            <w:r w:rsidRPr="001F75B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DF4DE9" w14:textId="6256DAF2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% (</w:t>
            </w:r>
            <w:proofErr w:type="spellStart"/>
            <w:r w:rsidRPr="001F75B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</w:t>
            </w:r>
            <w:r w:rsid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ercentage</w:t>
            </w:r>
            <w:proofErr w:type="spellEnd"/>
            <w:r w:rsidRPr="001F75B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)</w:t>
            </w:r>
          </w:p>
        </w:tc>
      </w:tr>
      <w:tr w:rsidR="00D60642" w:rsidRPr="001F75B9" w14:paraId="6AF0AE5C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C0966" w14:textId="04473995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Rapid</w:t>
            </w:r>
            <w:proofErr w:type="spellEnd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diagnosis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C16400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61496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82.9%</w:t>
            </w:r>
          </w:p>
        </w:tc>
      </w:tr>
      <w:tr w:rsidR="00D60642" w:rsidRPr="001F75B9" w14:paraId="05E23595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DE088" w14:textId="040A623A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Disease</w:t>
            </w:r>
            <w:proofErr w:type="spellEnd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monitoring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B8477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5B8E0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70.7%</w:t>
            </w:r>
          </w:p>
        </w:tc>
      </w:tr>
      <w:tr w:rsidR="00D60642" w:rsidRPr="001F75B9" w14:paraId="6B1F3271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2E3E30" w14:textId="66225105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Guiding</w:t>
            </w:r>
            <w:proofErr w:type="spellEnd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procedures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4A5F5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2F7EC5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36.6%</w:t>
            </w:r>
          </w:p>
        </w:tc>
      </w:tr>
      <w:tr w:rsidR="00D60642" w:rsidRPr="001F75B9" w14:paraId="3F2112CF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F01F4" w14:textId="61EFA834" w:rsidR="001F75B9" w:rsidRPr="001F75B9" w:rsidRDefault="0012403B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Visualization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5AAC81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98B9EA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29.3%</w:t>
            </w:r>
          </w:p>
        </w:tc>
      </w:tr>
      <w:tr w:rsidR="00D60642" w:rsidRPr="001F75B9" w14:paraId="3C801B86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B7001" w14:textId="22AE2642" w:rsidR="001F75B9" w:rsidRPr="001F75B9" w:rsidRDefault="0012403B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curricular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64CA46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B0DFA2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92.7%</w:t>
            </w:r>
          </w:p>
        </w:tc>
      </w:tr>
      <w:tr w:rsidR="00D60642" w:rsidRPr="001F75B9" w14:paraId="2771F5FC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CBD12" w14:textId="5126B3E9" w:rsidR="001F75B9" w:rsidRPr="001F75B9" w:rsidRDefault="0012403B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career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DE29C4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50FF4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78.0%</w:t>
            </w:r>
          </w:p>
        </w:tc>
      </w:tr>
      <w:tr w:rsidR="00D60642" w:rsidRPr="001F75B9" w14:paraId="17525730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F67F37" w14:textId="5183C500" w:rsidR="001F75B9" w:rsidRPr="001F75B9" w:rsidRDefault="0012403B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radiologists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ultrasound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7B436F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6ED16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97.6%</w:t>
            </w:r>
          </w:p>
        </w:tc>
      </w:tr>
      <w:tr w:rsidR="00D60642" w:rsidRPr="001F75B9" w14:paraId="6912B884" w14:textId="77777777" w:rsidTr="001F75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E77905" w14:textId="1EA566EF" w:rsidR="001F75B9" w:rsidRPr="001F75B9" w:rsidRDefault="0012403B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Perceived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greater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proofErr w:type="spellEnd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3B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1A9193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FAFAA" w14:textId="77777777" w:rsidR="001F75B9" w:rsidRPr="001F75B9" w:rsidRDefault="001F75B9" w:rsidP="001F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1F75B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82.9%</w:t>
            </w:r>
          </w:p>
        </w:tc>
      </w:tr>
    </w:tbl>
    <w:p w14:paraId="2A3A2EBE" w14:textId="2175B782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C0DAD60" w14:textId="77777777" w:rsidR="001F75B9" w:rsidRPr="00E6558A" w:rsidRDefault="001F75B9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51FE8F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3.3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Areas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Interest</w:t>
      </w:r>
      <w:proofErr w:type="spellEnd"/>
    </w:p>
    <w:p w14:paraId="04384F0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F3D75F8" w14:textId="6D0CB30A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Abdominal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selected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26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Thyroid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selected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10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18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while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musculoskeletal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frequently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selected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(n = 11)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lastRenderedPageBreak/>
        <w:t xml:space="preserve">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(n = 3). No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statistically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significant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differences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identified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groups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(Table 3).</w:t>
      </w:r>
    </w:p>
    <w:p w14:paraId="33E64C62" w14:textId="77777777" w:rsidR="0012403B" w:rsidRPr="00E6558A" w:rsidRDefault="0012403B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3E3998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D861314" w14:textId="37E5F01E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Table 3.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Preferred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application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areas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status</w:t>
      </w:r>
    </w:p>
    <w:p w14:paraId="0B398478" w14:textId="77777777" w:rsidR="00D60642" w:rsidRPr="00E6558A" w:rsidRDefault="00D60642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1484"/>
        <w:gridCol w:w="2217"/>
        <w:gridCol w:w="1196"/>
      </w:tblGrid>
      <w:tr w:rsidR="00D60642" w:rsidRPr="00D60642" w14:paraId="6B87A4E4" w14:textId="77777777" w:rsidTr="00D606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329C4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Area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of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Application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60A7D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GP (n=11)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D1F6D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Specialists</w:t>
            </w:r>
            <w:proofErr w:type="spellEnd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(n=30)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B4D0C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p-</w:t>
            </w: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value</w:t>
            </w:r>
            <w:proofErr w:type="spellEnd"/>
          </w:p>
        </w:tc>
      </w:tr>
      <w:tr w:rsidR="00D60642" w:rsidRPr="00D60642" w14:paraId="2F724897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DAF5F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Abdominal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DA2C1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E9BEBF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7902A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&gt; 0.05</w:t>
            </w:r>
          </w:p>
        </w:tc>
      </w:tr>
      <w:tr w:rsidR="00D60642" w:rsidRPr="00D60642" w14:paraId="4B077AB9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79E93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Thyroid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6B3F74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DF4A5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4F3DEE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&gt; 0.05</w:t>
            </w:r>
          </w:p>
        </w:tc>
      </w:tr>
      <w:tr w:rsidR="00D60642" w:rsidRPr="00D60642" w14:paraId="44FF3B18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BEBF0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Musculoskeletal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74321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74D64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60A74F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&gt; 0.05</w:t>
            </w:r>
          </w:p>
        </w:tc>
      </w:tr>
      <w:tr w:rsidR="00D60642" w:rsidRPr="00D60642" w14:paraId="11D1F845" w14:textId="77777777" w:rsidTr="00D6064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AE6CE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D6064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Other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C53393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82D80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D64997" w14:textId="77777777" w:rsidR="00D60642" w:rsidRPr="00D60642" w:rsidRDefault="00D60642" w:rsidP="00D6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D6064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&gt; 0.05</w:t>
            </w:r>
          </w:p>
        </w:tc>
      </w:tr>
    </w:tbl>
    <w:p w14:paraId="1B96DF47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7A404C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3.4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</w:p>
    <w:p w14:paraId="6A58764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EBF355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A total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43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included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analysis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(Table 4).</w:t>
      </w:r>
    </w:p>
    <w:p w14:paraId="686F6FB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61D1F57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prevalent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83.7%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insufficient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93.0%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mentorship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limitations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also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substantial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(76.7%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permanent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device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Workflow-related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time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65.1%.</w:t>
      </w:r>
    </w:p>
    <w:p w14:paraId="7648030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3A8124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most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prominent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overall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93.0%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indicated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financial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93.0%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clear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guidelines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Additionally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69.8%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concern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regarding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colleague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criticism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conflict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1D1402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397BBC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Table 4.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(N = 43)</w:t>
      </w:r>
    </w:p>
    <w:p w14:paraId="1F0C0C2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52B4B86" w14:textId="4481D69E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3203"/>
        <w:gridCol w:w="1582"/>
        <w:gridCol w:w="1959"/>
      </w:tblGrid>
      <w:tr w:rsidR="004518A1" w:rsidRPr="004518A1" w14:paraId="301CED01" w14:textId="77777777" w:rsidTr="004518A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55C28A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Domain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4F010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Barrier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4A7E0A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 (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Number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D21282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% (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Percentage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)</w:t>
            </w:r>
          </w:p>
        </w:tc>
      </w:tr>
      <w:tr w:rsidR="004518A1" w:rsidRPr="004518A1" w14:paraId="24C19058" w14:textId="77777777" w:rsidTr="0045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D08CB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Educational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072DE2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Insufficient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structured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training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7824A5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22BD35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83.7%</w:t>
            </w:r>
          </w:p>
        </w:tc>
      </w:tr>
      <w:tr w:rsidR="004518A1" w:rsidRPr="004518A1" w14:paraId="149EA497" w14:textId="77777777" w:rsidTr="0045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CB3DA3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085C80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Lack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of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mentorship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D15C83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D6E868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93.0%</w:t>
            </w:r>
          </w:p>
        </w:tc>
      </w:tr>
      <w:tr w:rsidR="004518A1" w:rsidRPr="004518A1" w14:paraId="5AC054F7" w14:textId="77777777" w:rsidTr="0045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1D0149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Equipment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C70B7C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Lack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of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permanent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device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access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07634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380C8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76.7%</w:t>
            </w:r>
          </w:p>
        </w:tc>
      </w:tr>
      <w:tr w:rsidR="004518A1" w:rsidRPr="004518A1" w14:paraId="447E387E" w14:textId="77777777" w:rsidTr="0045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887F8B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Workflow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91BBFB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Time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constraints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566C6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A4848E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65.1%</w:t>
            </w:r>
          </w:p>
        </w:tc>
      </w:tr>
      <w:tr w:rsidR="004518A1" w:rsidRPr="004518A1" w14:paraId="75DA2733" w14:textId="77777777" w:rsidTr="0045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A0BBF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lastRenderedPageBreak/>
              <w:t>Institutional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B16D49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Need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for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financial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recognition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BA6D9F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0C6061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93.0%</w:t>
            </w:r>
          </w:p>
        </w:tc>
      </w:tr>
      <w:tr w:rsidR="004518A1" w:rsidRPr="004518A1" w14:paraId="17872AA3" w14:textId="77777777" w:rsidTr="0045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1ED80C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32A0A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Lack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of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clear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guidelines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087C5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544A5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93.0%</w:t>
            </w:r>
          </w:p>
        </w:tc>
      </w:tr>
      <w:tr w:rsidR="004518A1" w:rsidRPr="004518A1" w14:paraId="0CDC9E90" w14:textId="77777777" w:rsidTr="0045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7B67A3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Professional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climate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3A971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Concern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about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colleague</w:t>
            </w:r>
            <w:proofErr w:type="spellEnd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 xml:space="preserve"> </w:t>
            </w:r>
            <w:proofErr w:type="spellStart"/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criticism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803A2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01E70" w14:textId="77777777" w:rsidR="004518A1" w:rsidRPr="004518A1" w:rsidRDefault="004518A1" w:rsidP="0045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4518A1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:lang w:eastAsia="bs-Latn-BA"/>
                <w14:ligatures w14:val="none"/>
              </w:rPr>
              <w:t>69.8%</w:t>
            </w:r>
          </w:p>
        </w:tc>
      </w:tr>
    </w:tbl>
    <w:p w14:paraId="3F1D12F6" w14:textId="77777777" w:rsidR="001F75B9" w:rsidRDefault="001F75B9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DAAF41A" w14:textId="77777777" w:rsidR="001F75B9" w:rsidRDefault="001F75B9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D112653" w14:textId="596D3584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4. DISCUSSION</w:t>
      </w:r>
    </w:p>
    <w:p w14:paraId="75F820A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B0AADF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present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provides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comprehensive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assessment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readiness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influencing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(POCUS)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among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When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findings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interpreted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integratively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distinct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paradox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becomes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apparent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willingness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yet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capacity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remains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insufficient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divergence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readiness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infrastructure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appears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represent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central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bottleneck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73BFE4C4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3B83AD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4.1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Readiness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Pre-Implementation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Phase</w:t>
      </w:r>
      <w:proofErr w:type="spellEnd"/>
    </w:p>
    <w:p w14:paraId="6DB581C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741647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proportion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identifying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rapid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diagnostic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clarification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disease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monitoring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key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motivators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(Table 2)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reflects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pragmatic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understanding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viewing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technological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novelty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tool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enhances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bedside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reasoning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accelerates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decision-making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aligns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international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literature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conceptualizing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extension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examination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substitute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radiological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imaging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(1–3).</w:t>
      </w:r>
    </w:p>
    <w:p w14:paraId="52B754A3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E36C84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Importantly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near-universal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rejection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radiologist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exclusivity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(97.6%)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suggests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identity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already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evolved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toward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clinician-performed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trivial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signals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resistance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ideological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community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appears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conceptually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prepared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scope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expansion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76AE4E8A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80802EA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Furthermore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perception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increased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(82.9%)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indicates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associated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only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utility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but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also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symbolic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value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dual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dimension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—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functional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reputational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—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accelerate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adoption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removed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06648B6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A43967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4.2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Gap: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Without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Infrastructure</w:t>
      </w:r>
      <w:proofErr w:type="spellEnd"/>
    </w:p>
    <w:p w14:paraId="6DF08D6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06E76E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Despite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readiness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self-perceived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remains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moderate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(Table 1).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Nearly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one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third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familiarity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discrepancy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aspiration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capability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highlights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deficit.</w:t>
      </w:r>
    </w:p>
    <w:p w14:paraId="68D4296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E4511B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lastRenderedPageBreak/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Table 4—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particularly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insufficient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mentorship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—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confirm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interpretation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 Short-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term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courses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stimulate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interest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but 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unlikely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produce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durable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without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supervised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longitudinal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International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Delphi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curriculum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frameworks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emphasize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competency-based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progression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supervised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scanning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thresholds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assessment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standards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(8–11).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such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contribute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hesitation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routine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despite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positive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AC53CE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BBF005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Thus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factor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appears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willingness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but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pathways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capable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translating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interest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confident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197D55A3" w14:textId="3263598B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86F0A01" w14:textId="77777777" w:rsidR="001F75B9" w:rsidRPr="00E6558A" w:rsidRDefault="001F75B9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784B191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4.3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Alignment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Accountability</w:t>
      </w:r>
      <w:proofErr w:type="spellEnd"/>
    </w:p>
    <w:p w14:paraId="740D8C9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6D89BE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emerged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most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prominent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Over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90%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clear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guidelines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financial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(Table 4).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findings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suggest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imbalance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responsibility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acknowledgment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7EE10B2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A7515F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introduces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diagnostic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accountability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documentation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requirements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potential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medicolegal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implications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Without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policy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frameworks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reimbursement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models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endorsement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experience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uncertainty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regarding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scope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boundaries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liability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inhibit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full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even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environments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18D9172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B58F167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presence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climate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concerns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(69.8%)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further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indicates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interdisciplinary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clarity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remains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incomplete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Although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exclusivity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rejected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conceptually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boundaries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radiology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clinician-performed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not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yet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delineated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Clear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governance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could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mitigate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concerns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7E31E0E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A8DA14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4.4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Workflow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Realities</w:t>
      </w:r>
      <w:proofErr w:type="spellEnd"/>
    </w:p>
    <w:p w14:paraId="06713D2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14477A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device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(76.7%)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represents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tangible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infrastructural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science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consistently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identifies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resource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availability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 a determinant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adoption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Even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clinicians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cannot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sustain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without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reliable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7AB03EFA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66CE4D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Workflow-related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time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were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reported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two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thirds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respondents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However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compared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workflow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constraints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appear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secondary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suggests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time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adaptive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challenges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diminish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improve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2A932AA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AD709E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4.5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Convergence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Across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Professional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Groups</w:t>
      </w:r>
      <w:proofErr w:type="spellEnd"/>
    </w:p>
    <w:p w14:paraId="56A3AB3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5FEC8E7C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absence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statistically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significant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differences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between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practitioners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specialists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suggests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shared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perception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landscape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appear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specialty-dependent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simplifies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policy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implications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reform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lastRenderedPageBreak/>
        <w:t>efforts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designed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level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tailored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subgroups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112310A7" w14:textId="475E9FDB" w:rsid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1427688E" w14:textId="77777777" w:rsidR="004518A1" w:rsidRPr="00E6558A" w:rsidRDefault="004518A1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94295D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4.6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Interpretation</w:t>
      </w:r>
      <w:proofErr w:type="spellEnd"/>
    </w:p>
    <w:p w14:paraId="5A7AEAF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893DBDE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Collectively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findings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suggest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reached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pre-implementation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phase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characterized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high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readiness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but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incomplete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standardization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mentorship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frameworks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accessibility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guidelines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mechanisms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represent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critical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levers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progression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1B66B5F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656EADF4" w14:textId="40F881C0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Once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conditions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aligned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rapid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diffusion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into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routine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appears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plausible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62144D7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FEBE62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5. CONCLUSION</w:t>
      </w:r>
    </w:p>
    <w:p w14:paraId="57E95AE8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2E514FF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Bosnia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Herzegovina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demonstrate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motivation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positive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toward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adoption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However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predominantly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limited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lack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professional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interest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0075C73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4167846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Sustainable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integration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requires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coordinated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educational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reform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structured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mentorship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improved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equipment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access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institutional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guidelines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formal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recognition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mechanisms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Future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multicenter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with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larger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samples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objective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utilization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measures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recommended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further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implementation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strategies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</w:t>
      </w:r>
    </w:p>
    <w:p w14:paraId="3B5063C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3A772C1B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8E3D43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REFERENCES</w:t>
      </w:r>
    </w:p>
    <w:p w14:paraId="2751E621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</w:p>
    <w:p w14:paraId="0BF63BC9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1.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Narula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Chandrashekhar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Y,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Braunwald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E. Time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add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fifth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pillar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bedside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physical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examination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inspection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palpation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percussion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auscultation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insonation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 JAMA. 2018;319(4):346–347.</w:t>
      </w:r>
    </w:p>
    <w:p w14:paraId="00603F8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2. Moore CL,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Copel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JA.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ultrasonography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Engl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 Med. 2011;364(8):749–757.</w:t>
      </w:r>
    </w:p>
    <w:p w14:paraId="0772BA2D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3. Andersen CA,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Brodersen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Davidsen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AS,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al. Use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ultrasonography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systematic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review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 Prim Health Care. 2019;37(3):257–265.</w:t>
      </w:r>
    </w:p>
    <w:p w14:paraId="575CFB6F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4.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Ludden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Schlatter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Kruse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RL,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Mahan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R,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Stephens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L.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current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use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among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medicine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residents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PRiMER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 2023;7:13.</w:t>
      </w:r>
    </w:p>
    <w:p w14:paraId="2526A43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5.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Bahner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DP,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Royall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NA,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Liu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YT,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al.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learning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using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J. 2020;12:19.</w:t>
      </w:r>
    </w:p>
    <w:p w14:paraId="56758BF2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6.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APP,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Liu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KSN,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ZCT,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Tang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ZHW,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EYF,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Yu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EYT, Dao MC,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Wu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CY,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TP.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Knowledge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attitude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perceived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using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Asian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primary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-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mixed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method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BMC Health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Serv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2024 Nov 5;24(1):1344.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doi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: 10.1186/s12913-024-11865-5.</w:t>
      </w:r>
    </w:p>
    <w:p w14:paraId="768699D4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7.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Järvinen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Hannula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O,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Meuronen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A,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Mattila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K.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Perceptions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barriers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to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the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use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among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Finnish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emergency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-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lastRenderedPageBreak/>
        <w:t>nationwide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survey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BMC Med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2025 Jan 20;25(1):92.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doi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: 10.1186/s12909-024-06609-2.</w:t>
      </w:r>
    </w:p>
    <w:p w14:paraId="24C84ED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8.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Camard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L,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Liard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R,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Duverne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S,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Ibanez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Skendi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Defining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core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competencies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POCUS in general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practice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French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Delphi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BMC Med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Educ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 2024;24:341.</w:t>
      </w:r>
    </w:p>
    <w:p w14:paraId="3384FBC0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9.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Homar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V,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Kumse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Gale Z,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Lainscak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Svab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needs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medicine: a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Slovenian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Delphi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study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BMC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Pract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 2020;21:112.</w:t>
      </w:r>
    </w:p>
    <w:p w14:paraId="0FBABB56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10.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Bornemann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P,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Jayasekera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N, Bergman K,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Ramos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M,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Gerhart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J.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training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in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medicine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residency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programs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Med. 2015;47(9):706–711.</w:t>
      </w:r>
    </w:p>
    <w:p w14:paraId="09B189C5" w14:textId="77777777" w:rsidR="00E6558A" w:rsidRPr="00E6558A" w:rsidRDefault="00E6558A" w:rsidP="00E65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</w:pPr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11. American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Academy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Physicians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.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Recommended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curriculum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guidelines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for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family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 medicine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residents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: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point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-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of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 xml:space="preserve">-care </w:t>
      </w:r>
      <w:proofErr w:type="spellStart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ultrasound</w:t>
      </w:r>
      <w:proofErr w:type="spellEnd"/>
      <w:r w:rsidRPr="00E6558A">
        <w:rPr>
          <w:rFonts w:ascii="Arial" w:eastAsia="Times New Roman" w:hAnsi="Arial" w:cs="Arial"/>
          <w:color w:val="222222"/>
          <w:kern w:val="0"/>
          <w:sz w:val="24"/>
          <w:szCs w:val="24"/>
          <w:lang w:eastAsia="bs-Latn-BA"/>
          <w14:ligatures w14:val="none"/>
        </w:rPr>
        <w:t>. 2021.</w:t>
      </w:r>
    </w:p>
    <w:p w14:paraId="0D2084CA" w14:textId="77777777" w:rsidR="00990407" w:rsidRDefault="00990407"/>
    <w:sectPr w:rsidR="0099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A"/>
    <w:rsid w:val="00037CAD"/>
    <w:rsid w:val="0012403B"/>
    <w:rsid w:val="001F75B9"/>
    <w:rsid w:val="004518A1"/>
    <w:rsid w:val="005270E6"/>
    <w:rsid w:val="00707250"/>
    <w:rsid w:val="00990407"/>
    <w:rsid w:val="00D056F4"/>
    <w:rsid w:val="00D41385"/>
    <w:rsid w:val="00D60642"/>
    <w:rsid w:val="00E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53D2"/>
  <w15:chartTrackingRefBased/>
  <w15:docId w15:val="{F10103CC-4043-4E8D-AB72-96FC3967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Popović</dc:creator>
  <cp:keywords/>
  <dc:description/>
  <cp:lastModifiedBy>Marko Popović</cp:lastModifiedBy>
  <cp:revision>13</cp:revision>
  <dcterms:created xsi:type="dcterms:W3CDTF">2026-02-25T20:18:00Z</dcterms:created>
  <dcterms:modified xsi:type="dcterms:W3CDTF">2026-02-25T20:51:00Z</dcterms:modified>
</cp:coreProperties>
</file>